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34E3" w14:textId="77777777" w:rsidR="006E4294" w:rsidRPr="00D82DE1" w:rsidRDefault="006E4294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34E9B">
        <w:rPr>
          <w:rFonts w:ascii="Times New Roman" w:hAnsi="Times New Roman"/>
          <w:b/>
          <w:sz w:val="24"/>
          <w:szCs w:val="24"/>
          <w:lang w:val="sr-Cyrl-RS"/>
        </w:rPr>
        <w:t>ФО</w:t>
      </w:r>
      <w:r w:rsidRPr="00D82DE1">
        <w:rPr>
          <w:rFonts w:ascii="Times New Roman" w:hAnsi="Times New Roman"/>
          <w:b/>
          <w:sz w:val="24"/>
          <w:szCs w:val="24"/>
          <w:lang w:val="sr-Cyrl-RS"/>
        </w:rPr>
        <w:t xml:space="preserve">РМУЛАР </w:t>
      </w:r>
    </w:p>
    <w:p w14:paraId="3834CA9F" w14:textId="77777777" w:rsidR="006E4294" w:rsidRPr="00D82DE1" w:rsidRDefault="006E4294" w:rsidP="006E4294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82DE1">
        <w:rPr>
          <w:rFonts w:ascii="Times New Roman" w:hAnsi="Times New Roman"/>
          <w:sz w:val="24"/>
          <w:szCs w:val="24"/>
          <w:lang w:val="sr-Cyrl-RS"/>
        </w:rPr>
        <w:t xml:space="preserve">за достављање предлога и сугестије за измену и/или допуну </w:t>
      </w:r>
    </w:p>
    <w:p w14:paraId="5C4E0DA7" w14:textId="77777777" w:rsidR="006E4294" w:rsidRPr="00D82DE1" w:rsidRDefault="006E4294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82DE1">
        <w:rPr>
          <w:rFonts w:ascii="Times New Roman" w:hAnsi="Times New Roman"/>
          <w:b/>
          <w:sz w:val="24"/>
          <w:szCs w:val="24"/>
          <w:lang w:val="sr-Cyrl-RS"/>
        </w:rPr>
        <w:t xml:space="preserve">НАЦРТА ЗАКОНА О </w:t>
      </w:r>
      <w:r w:rsidR="00104D01" w:rsidRPr="00D82DE1">
        <w:rPr>
          <w:rFonts w:ascii="Times New Roman" w:hAnsi="Times New Roman"/>
          <w:b/>
          <w:sz w:val="24"/>
          <w:szCs w:val="24"/>
          <w:lang w:val="sr-Cyrl-RS"/>
        </w:rPr>
        <w:t>НАУЦИ И ИСТРАЖИВАЊИМА</w:t>
      </w:r>
    </w:p>
    <w:p w14:paraId="396E9BFB" w14:textId="77777777" w:rsidR="006E4294" w:rsidRPr="00D82DE1" w:rsidRDefault="006E4294" w:rsidP="006E4294">
      <w:pPr>
        <w:spacing w:before="0"/>
        <w:rPr>
          <w:rFonts w:ascii="Times New Roman" w:hAnsi="Times New Roman"/>
          <w:sz w:val="24"/>
          <w:szCs w:val="24"/>
          <w:lang w:val="sr-Cyrl-RS"/>
        </w:rPr>
      </w:pPr>
    </w:p>
    <w:p w14:paraId="6362BDA1" w14:textId="77777777" w:rsidR="005F0FFC" w:rsidRPr="00D82DE1" w:rsidRDefault="006E4294" w:rsidP="006E4294">
      <w:pPr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D82DE1">
        <w:rPr>
          <w:rFonts w:ascii="Times New Roman" w:hAnsi="Times New Roman"/>
          <w:i/>
          <w:sz w:val="24"/>
          <w:szCs w:val="24"/>
          <w:lang w:val="sr-Cyrl-RS"/>
        </w:rPr>
        <w:t xml:space="preserve">Молимо да коментаре уносите код чланова на које имате примедбе, са навођењем конкретних предлога за измену и/или допуну. Попуњен формулар потребно је послати на е-мејл адресу </w:t>
      </w:r>
      <w:hyperlink r:id="rId5" w:history="1">
        <w:r w:rsidR="005F0FFC" w:rsidRPr="00D82DE1">
          <w:rPr>
            <w:rStyle w:val="Hyperlink"/>
            <w:rFonts w:ascii="Times New Roman" w:hAnsi="Times New Roman"/>
            <w:sz w:val="24"/>
            <w:szCs w:val="24"/>
            <w:lang w:val="sr-Cyrl-CS"/>
          </w:rPr>
          <w:t>nauka@mpn.gov.rs</w:t>
        </w:r>
      </w:hyperlink>
    </w:p>
    <w:p w14:paraId="5E11B456" w14:textId="77777777" w:rsidR="006E4294" w:rsidRPr="00D82DE1" w:rsidRDefault="006E4294" w:rsidP="006E4294">
      <w:pPr>
        <w:spacing w:before="0"/>
        <w:rPr>
          <w:rFonts w:ascii="Times New Roman" w:hAnsi="Times New Roman"/>
          <w:i/>
          <w:sz w:val="24"/>
          <w:szCs w:val="24"/>
          <w:lang w:val="sr-Cyrl-RS"/>
        </w:rPr>
      </w:pPr>
      <w:r w:rsidRPr="00D82DE1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sr-Cyrl-RS"/>
        </w:rPr>
        <w:t>У субјекту емаил поруке потребно је да наведете „</w:t>
      </w:r>
      <w:r w:rsidR="00BE002E" w:rsidRPr="00D82DE1">
        <w:rPr>
          <w:rStyle w:val="Hyperlink"/>
          <w:rFonts w:ascii="Times New Roman" w:hAnsi="Times New Roman"/>
          <w:b/>
          <w:i/>
          <w:color w:val="auto"/>
          <w:sz w:val="24"/>
          <w:szCs w:val="24"/>
          <w:u w:val="none"/>
          <w:lang w:val="sr-Cyrl-RS"/>
        </w:rPr>
        <w:t>Нацрт з</w:t>
      </w:r>
      <w:r w:rsidRPr="00D82DE1">
        <w:rPr>
          <w:rStyle w:val="Hyperlink"/>
          <w:rFonts w:ascii="Times New Roman" w:hAnsi="Times New Roman"/>
          <w:b/>
          <w:i/>
          <w:color w:val="auto"/>
          <w:sz w:val="24"/>
          <w:szCs w:val="24"/>
          <w:u w:val="none"/>
          <w:lang w:val="sr-Cyrl-RS"/>
        </w:rPr>
        <w:t xml:space="preserve">акона о </w:t>
      </w:r>
      <w:r w:rsidR="00104D01" w:rsidRPr="00D82DE1">
        <w:rPr>
          <w:rStyle w:val="Hyperlink"/>
          <w:rFonts w:ascii="Times New Roman" w:hAnsi="Times New Roman"/>
          <w:b/>
          <w:i/>
          <w:color w:val="auto"/>
          <w:sz w:val="24"/>
          <w:szCs w:val="24"/>
          <w:u w:val="none"/>
          <w:lang w:val="sr-Cyrl-RS"/>
        </w:rPr>
        <w:t>науци и истраживањима</w:t>
      </w:r>
      <w:r w:rsidRPr="00D82DE1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sr-Cyrl-RS"/>
        </w:rPr>
        <w:t>“</w:t>
      </w:r>
    </w:p>
    <w:p w14:paraId="684021D4" w14:textId="77777777" w:rsidR="006E4294" w:rsidRPr="00D82DE1" w:rsidRDefault="006E4294" w:rsidP="006E4294">
      <w:pPr>
        <w:spacing w:before="0"/>
        <w:rPr>
          <w:rFonts w:ascii="Times New Roman" w:hAnsi="Times New Roman"/>
          <w:sz w:val="24"/>
          <w:szCs w:val="24"/>
          <w:lang w:val="sr-Cyrl-RS"/>
        </w:rPr>
      </w:pPr>
    </w:p>
    <w:p w14:paraId="7F5EB301" w14:textId="77777777" w:rsidR="006E4294" w:rsidRPr="00D82DE1" w:rsidRDefault="006E4294" w:rsidP="006E4294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D82DE1"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 w:rsidR="00D82DE1">
        <w:rPr>
          <w:rFonts w:ascii="Times New Roman" w:hAnsi="Times New Roman"/>
          <w:b/>
          <w:sz w:val="24"/>
          <w:szCs w:val="24"/>
          <w:lang w:val="sr-Cyrl-RS"/>
        </w:rPr>
        <w:t>12.11.2018. године</w:t>
      </w:r>
    </w:p>
    <w:p w14:paraId="6F062A44" w14:textId="77777777" w:rsidR="006E4294" w:rsidRPr="00D82DE1" w:rsidRDefault="006E4294" w:rsidP="006E4294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D82DE1">
        <w:rPr>
          <w:rFonts w:ascii="Times New Roman" w:hAnsi="Times New Roman"/>
          <w:b/>
          <w:sz w:val="24"/>
          <w:szCs w:val="24"/>
          <w:lang w:val="sr-Cyrl-RS"/>
        </w:rPr>
        <w:t xml:space="preserve">Место: </w:t>
      </w:r>
      <w:r w:rsidR="00D82DE1">
        <w:rPr>
          <w:rFonts w:ascii="Times New Roman" w:hAnsi="Times New Roman"/>
          <w:b/>
          <w:sz w:val="24"/>
          <w:szCs w:val="24"/>
          <w:lang w:val="sr-Cyrl-RS"/>
        </w:rPr>
        <w:t>Ниш</w:t>
      </w:r>
    </w:p>
    <w:p w14:paraId="5A906B1D" w14:textId="77777777" w:rsidR="006E4294" w:rsidRPr="00D82DE1" w:rsidRDefault="006E4294" w:rsidP="006E4294">
      <w:pPr>
        <w:spacing w:before="0"/>
        <w:rPr>
          <w:rFonts w:ascii="Times New Roman" w:hAnsi="Times New Roman"/>
          <w:b/>
          <w:sz w:val="24"/>
          <w:szCs w:val="24"/>
          <w:lang w:val="sr-Cyrl-RS"/>
        </w:rPr>
      </w:pPr>
    </w:p>
    <w:p w14:paraId="716A0D7A" w14:textId="77777777" w:rsidR="006E4294" w:rsidRPr="00D82DE1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lang w:val="sr-Latn-RS"/>
        </w:rPr>
      </w:pPr>
      <w:r w:rsidRPr="00D82DE1">
        <w:t xml:space="preserve">ПРЕДЛАГАЧ: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6315"/>
      </w:tblGrid>
      <w:tr w:rsidR="006E4294" w:rsidRPr="00D82DE1" w14:paraId="117807AD" w14:textId="77777777" w:rsidTr="002D28DE">
        <w:tc>
          <w:tcPr>
            <w:tcW w:w="2756" w:type="dxa"/>
            <w:shd w:val="clear" w:color="auto" w:fill="auto"/>
          </w:tcPr>
          <w:p w14:paraId="0C93E846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Име и презиме</w:t>
            </w:r>
          </w:p>
        </w:tc>
        <w:tc>
          <w:tcPr>
            <w:tcW w:w="6530" w:type="dxa"/>
            <w:shd w:val="clear" w:color="auto" w:fill="auto"/>
          </w:tcPr>
          <w:p w14:paraId="21428F16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lang w:val="sr-Latn-RS"/>
              </w:rPr>
            </w:pPr>
          </w:p>
        </w:tc>
      </w:tr>
      <w:tr w:rsidR="006E4294" w:rsidRPr="00D82DE1" w14:paraId="01376155" w14:textId="77777777" w:rsidTr="002D28DE">
        <w:tc>
          <w:tcPr>
            <w:tcW w:w="2756" w:type="dxa"/>
            <w:shd w:val="clear" w:color="auto" w:fill="auto"/>
          </w:tcPr>
          <w:p w14:paraId="44CB32AB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Установа/институција</w:t>
            </w:r>
          </w:p>
        </w:tc>
        <w:tc>
          <w:tcPr>
            <w:tcW w:w="6530" w:type="dxa"/>
            <w:shd w:val="clear" w:color="auto" w:fill="auto"/>
          </w:tcPr>
          <w:p w14:paraId="42639427" w14:textId="77777777" w:rsidR="006E4294" w:rsidRPr="00D82DE1" w:rsidRDefault="00D82DE1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Универзитет у Нишу, Природно-математички факултет</w:t>
            </w:r>
          </w:p>
        </w:tc>
      </w:tr>
      <w:tr w:rsidR="006E4294" w:rsidRPr="00D82DE1" w14:paraId="7DD3AD23" w14:textId="77777777" w:rsidTr="002D28DE">
        <w:tc>
          <w:tcPr>
            <w:tcW w:w="2756" w:type="dxa"/>
            <w:shd w:val="clear" w:color="auto" w:fill="auto"/>
          </w:tcPr>
          <w:p w14:paraId="449DA018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Е-маил адреса</w:t>
            </w:r>
          </w:p>
        </w:tc>
        <w:tc>
          <w:tcPr>
            <w:tcW w:w="6530" w:type="dxa"/>
            <w:shd w:val="clear" w:color="auto" w:fill="auto"/>
          </w:tcPr>
          <w:p w14:paraId="6E13849F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lang w:val="sr-Latn-RS"/>
              </w:rPr>
            </w:pPr>
          </w:p>
        </w:tc>
      </w:tr>
    </w:tbl>
    <w:p w14:paraId="3CA60EC7" w14:textId="77777777" w:rsidR="006E4294" w:rsidRPr="00D82DE1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</w:rPr>
      </w:pPr>
    </w:p>
    <w:p w14:paraId="4991B3E5" w14:textId="77777777" w:rsidR="002F08C4" w:rsidRPr="00D82DE1" w:rsidRDefault="002F08C4" w:rsidP="002F08C4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rFonts w:ascii="Times New Roman" w:hAnsi="Times New Roman"/>
          <w:b/>
          <w:sz w:val="24"/>
          <w:szCs w:val="24"/>
          <w:lang w:val="sr-Cyrl-CS"/>
        </w:rPr>
      </w:pPr>
      <w:r w:rsidRPr="00D82DE1">
        <w:rPr>
          <w:rFonts w:ascii="Times New Roman" w:hAnsi="Times New Roman"/>
          <w:b/>
          <w:sz w:val="24"/>
          <w:szCs w:val="24"/>
          <w:lang w:val="sr-Cyrl-CS"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2F08C4" w:rsidRPr="00D82DE1" w14:paraId="30594289" w14:textId="77777777" w:rsidTr="00D82DE1">
        <w:trPr>
          <w:trHeight w:val="134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C98" w14:textId="77777777" w:rsidR="00D82DE1" w:rsidRPr="00D82DE1" w:rsidRDefault="00D82DE1" w:rsidP="00D82DE1">
            <w:pPr>
              <w:pStyle w:val="ListParagraph"/>
              <w:jc w:val="both"/>
              <w:rPr>
                <w:b w:val="0"/>
              </w:rPr>
            </w:pPr>
            <w:r w:rsidRPr="00D82DE1">
              <w:rPr>
                <w:b w:val="0"/>
              </w:rPr>
              <w:t xml:space="preserve">Иако Нацрт Закона о науци и истраживањима предвиђа нека добра решења, увиђа се да се Нацртом Закона фаворизују научни институти у односу на факултете. Имајући у виду да су институти и факултети равноправне научне институције, потребно је у неким детаљима изменити Нацрт </w:t>
            </w:r>
            <w:r>
              <w:rPr>
                <w:b w:val="0"/>
              </w:rPr>
              <w:t>з</w:t>
            </w:r>
            <w:r w:rsidRPr="00D82DE1">
              <w:rPr>
                <w:b w:val="0"/>
              </w:rPr>
              <w:t xml:space="preserve">акона. </w:t>
            </w:r>
          </w:p>
          <w:p w14:paraId="104E9636" w14:textId="77777777" w:rsidR="00FF2DB3" w:rsidRDefault="00FF2DB3" w:rsidP="00EB5266">
            <w:pPr>
              <w:pStyle w:val="ListParagraph"/>
              <w:jc w:val="both"/>
              <w:rPr>
                <w:b w:val="0"/>
              </w:rPr>
            </w:pPr>
          </w:p>
          <w:p w14:paraId="3076A60F" w14:textId="35337741" w:rsidR="00EB5266" w:rsidRDefault="00FF2DB3" w:rsidP="00EB5266">
            <w:pPr>
              <w:pStyle w:val="ListParagraph"/>
              <w:jc w:val="both"/>
              <w:rPr>
                <w:b w:val="0"/>
              </w:rPr>
            </w:pPr>
            <w:r>
              <w:rPr>
                <w:b w:val="0"/>
              </w:rPr>
              <w:t xml:space="preserve">Није јасна </w:t>
            </w:r>
            <w:r w:rsidR="00EB5266" w:rsidRPr="00D82DE1">
              <w:rPr>
                <w:b w:val="0"/>
              </w:rPr>
              <w:t>намера забране запошљавања истраживача на факултетима. При томе, према важећем Закону о високом образовању</w:t>
            </w:r>
            <w:r w:rsidR="00EB5266">
              <w:rPr>
                <w:b w:val="0"/>
              </w:rPr>
              <w:t xml:space="preserve"> (члан 72., став 2.)</w:t>
            </w:r>
            <w:r w:rsidR="00EB5266" w:rsidRPr="00D82DE1">
              <w:rPr>
                <w:b w:val="0"/>
              </w:rPr>
              <w:t>, истраживачи јесу наставно особље факултета. Многи факултети су запослили пре свега младе истраживаче на пројектима, по истим критеријумима по којима се ови истраживачи запошљавају на институтима.</w:t>
            </w:r>
            <w:r w:rsidR="00EB5266">
              <w:rPr>
                <w:b w:val="0"/>
              </w:rPr>
              <w:t xml:space="preserve"> У последњих 15 година такво запошљавање је </w:t>
            </w:r>
            <w:r w:rsidR="00313066">
              <w:rPr>
                <w:b w:val="0"/>
              </w:rPr>
              <w:t>урађено</w:t>
            </w:r>
            <w:r w:rsidR="00EB5266">
              <w:rPr>
                <w:b w:val="0"/>
              </w:rPr>
              <w:t xml:space="preserve"> у складу са прописима. </w:t>
            </w:r>
            <w:r w:rsidR="00EB5266" w:rsidRPr="00D82DE1">
              <w:rPr>
                <w:b w:val="0"/>
              </w:rPr>
              <w:t xml:space="preserve"> Зашто би се </w:t>
            </w:r>
            <w:r w:rsidR="00EB5266">
              <w:rPr>
                <w:b w:val="0"/>
              </w:rPr>
              <w:t xml:space="preserve">сада </w:t>
            </w:r>
            <w:r w:rsidR="00EB5266" w:rsidRPr="00D82DE1">
              <w:rPr>
                <w:b w:val="0"/>
              </w:rPr>
              <w:t xml:space="preserve">правила разлика у овом </w:t>
            </w:r>
            <w:r w:rsidR="00EB5266">
              <w:rPr>
                <w:b w:val="0"/>
              </w:rPr>
              <w:t xml:space="preserve">сегменту </w:t>
            </w:r>
            <w:r w:rsidR="00EB5266" w:rsidRPr="00D82DE1">
              <w:rPr>
                <w:b w:val="0"/>
              </w:rPr>
              <w:t xml:space="preserve">између факултета и института? Факултет у смислу науке ради под истим условима као институт. </w:t>
            </w:r>
          </w:p>
          <w:p w14:paraId="52CD566E" w14:textId="77777777" w:rsidR="00EB5266" w:rsidRDefault="00EB5266" w:rsidP="00EB5266">
            <w:pPr>
              <w:pStyle w:val="ListParagraph"/>
              <w:jc w:val="both"/>
              <w:rPr>
                <w:b w:val="0"/>
              </w:rPr>
            </w:pPr>
          </w:p>
          <w:p w14:paraId="2A7990A8" w14:textId="77777777" w:rsidR="00EB5266" w:rsidRPr="00D82DE1" w:rsidRDefault="00EB5266" w:rsidP="00EB5266">
            <w:pPr>
              <w:pStyle w:val="ListParagraph"/>
              <w:jc w:val="both"/>
              <w:rPr>
                <w:b w:val="0"/>
              </w:rPr>
            </w:pPr>
            <w:r w:rsidRPr="00D82DE1">
              <w:rPr>
                <w:b w:val="0"/>
              </w:rPr>
              <w:t xml:space="preserve">Ако проблем представљају новчана средства истраживача, увек се могу наметнути строжи критеријуми за рад на пројектма, и ти критеријуми </w:t>
            </w:r>
            <w:r>
              <w:rPr>
                <w:b w:val="0"/>
              </w:rPr>
              <w:t xml:space="preserve">морају бити </w:t>
            </w:r>
            <w:r w:rsidRPr="00D82DE1">
              <w:rPr>
                <w:b w:val="0"/>
              </w:rPr>
              <w:t xml:space="preserve">у потпуности исти за факултете и институте. </w:t>
            </w:r>
          </w:p>
          <w:p w14:paraId="14AF3694" w14:textId="77777777" w:rsidR="00EB5266" w:rsidRDefault="00EB5266" w:rsidP="00EB5266">
            <w:pPr>
              <w:pStyle w:val="ListParagraph"/>
              <w:jc w:val="both"/>
              <w:rPr>
                <w:b w:val="0"/>
              </w:rPr>
            </w:pPr>
          </w:p>
          <w:p w14:paraId="20CD926D" w14:textId="77777777" w:rsidR="00EB5266" w:rsidRDefault="00EB5266" w:rsidP="00EB5266">
            <w:pPr>
              <w:pStyle w:val="ListParagraph"/>
              <w:jc w:val="both"/>
              <w:rPr>
                <w:b w:val="0"/>
              </w:rPr>
            </w:pPr>
            <w:r w:rsidRPr="00D82DE1">
              <w:rPr>
                <w:b w:val="0"/>
              </w:rPr>
              <w:t xml:space="preserve">Имајући у виду да, на пример у  Нишу не постоје научни институти, сматрамо да у важним деловима Нацрт Закона води ка непотребној и у овом случају скупој централизацији науке у Србији. </w:t>
            </w:r>
          </w:p>
          <w:p w14:paraId="09771E17" w14:textId="77777777" w:rsidR="00EB5266" w:rsidRPr="00D82DE1" w:rsidRDefault="00EB5266" w:rsidP="00EB5266">
            <w:pPr>
              <w:pStyle w:val="ListParagraph"/>
              <w:jc w:val="both"/>
              <w:rPr>
                <w:b w:val="0"/>
              </w:rPr>
            </w:pPr>
          </w:p>
          <w:p w14:paraId="39CA1E90" w14:textId="35156968" w:rsidR="00EB5266" w:rsidRPr="00D82DE1" w:rsidRDefault="00EB5266" w:rsidP="00EB5266">
            <w:pPr>
              <w:pStyle w:val="ListParagraph"/>
              <w:jc w:val="both"/>
              <w:rPr>
                <w:b w:val="0"/>
              </w:rPr>
            </w:pPr>
            <w:r w:rsidRPr="00D82DE1">
              <w:rPr>
                <w:b w:val="0"/>
              </w:rPr>
              <w:lastRenderedPageBreak/>
              <w:t>Истраживачима на факултетима се препоручује прелазак на институте, а при томе ће само 20% истраживача бити задржано, док ће 80% истраживача изгубити посао - пре свега младих и перспективних</w:t>
            </w:r>
            <w:r w:rsidR="00313066">
              <w:rPr>
                <w:b w:val="0"/>
              </w:rPr>
              <w:t>.</w:t>
            </w:r>
            <w:r w:rsidRPr="00D82DE1">
              <w:rPr>
                <w:b w:val="0"/>
              </w:rPr>
              <w:t xml:space="preserve"> Препоручује се факултетима да најбољи кадар запосле и при томе се дозволи њихов једнак избор у наставна звања</w:t>
            </w:r>
            <w:r w:rsidR="00313066">
              <w:rPr>
                <w:b w:val="0"/>
              </w:rPr>
              <w:t>.</w:t>
            </w:r>
            <w:r w:rsidRPr="00D82DE1">
              <w:rPr>
                <w:b w:val="0"/>
              </w:rPr>
              <w:t xml:space="preserve"> Никада није било неједнких избора у наставна звања, али од којих средстава ће се то урадити? </w:t>
            </w:r>
          </w:p>
          <w:p w14:paraId="1A035BB9" w14:textId="77777777" w:rsidR="00EB5266" w:rsidRDefault="00EB5266" w:rsidP="00EB5266">
            <w:pPr>
              <w:pStyle w:val="ListParagraph"/>
              <w:jc w:val="both"/>
              <w:rPr>
                <w:b w:val="0"/>
              </w:rPr>
            </w:pPr>
          </w:p>
          <w:p w14:paraId="0DE280C8" w14:textId="43C08904" w:rsidR="00EB5266" w:rsidRDefault="00EB5266" w:rsidP="00EB5266">
            <w:pPr>
              <w:pStyle w:val="ListParagraph"/>
              <w:jc w:val="both"/>
              <w:rPr>
                <w:b w:val="0"/>
              </w:rPr>
            </w:pPr>
            <w:r>
              <w:rPr>
                <w:b w:val="0"/>
              </w:rPr>
              <w:t>Још један п</w:t>
            </w:r>
            <w:r w:rsidRPr="00D82DE1">
              <w:rPr>
                <w:b w:val="0"/>
              </w:rPr>
              <w:t xml:space="preserve">ример, Природно-математички факултет у Нишу у овом тренутку запошљава 57 истраживача. Не постоје средства </w:t>
            </w:r>
            <w:r w:rsidR="00313066">
              <w:rPr>
                <w:b w:val="0"/>
              </w:rPr>
              <w:t xml:space="preserve">која би омогућила </w:t>
            </w:r>
            <w:r w:rsidRPr="00D82DE1">
              <w:rPr>
                <w:b w:val="0"/>
              </w:rPr>
              <w:t>избор ових истраживача у наставна звања. У складу са Нацртом Закона, 12 истраживача ће остати на неким институтима у складу са персоналним интересовањем директора института, а 45 истраживача ће изгубити посао</w:t>
            </w:r>
            <w:r w:rsidR="00313066">
              <w:rPr>
                <w:b w:val="0"/>
              </w:rPr>
              <w:t xml:space="preserve">. </w:t>
            </w:r>
            <w:r w:rsidRPr="00D82DE1">
              <w:rPr>
                <w:b w:val="0"/>
              </w:rPr>
              <w:t xml:space="preserve">Да ли су </w:t>
            </w:r>
            <w:r w:rsidR="00313066">
              <w:rPr>
                <w:b w:val="0"/>
              </w:rPr>
              <w:t xml:space="preserve">у </w:t>
            </w:r>
            <w:r w:rsidRPr="00D82DE1">
              <w:rPr>
                <w:b w:val="0"/>
              </w:rPr>
              <w:t>исти кош стављени млади истраживачи на институтима? Наравно да не</w:t>
            </w:r>
            <w:r w:rsidR="00313066">
              <w:rPr>
                <w:b w:val="0"/>
              </w:rPr>
              <w:t>.</w:t>
            </w:r>
          </w:p>
          <w:p w14:paraId="45733174" w14:textId="77777777" w:rsidR="00EB5266" w:rsidRPr="00D82DE1" w:rsidRDefault="00EB5266" w:rsidP="00EB5266">
            <w:pPr>
              <w:pStyle w:val="ListParagraph"/>
              <w:jc w:val="both"/>
              <w:rPr>
                <w:b w:val="0"/>
              </w:rPr>
            </w:pPr>
          </w:p>
          <w:p w14:paraId="6F3CFCD7" w14:textId="18D2C536" w:rsidR="00EB5266" w:rsidRPr="00D82DE1" w:rsidRDefault="00EB5266" w:rsidP="00EB5266">
            <w:pPr>
              <w:pStyle w:val="ListParagraph"/>
              <w:jc w:val="both"/>
              <w:rPr>
                <w:b w:val="0"/>
              </w:rPr>
            </w:pPr>
            <w:r w:rsidRPr="00D82DE1">
              <w:t>Сматрамо да је чланом 126. Нацрта Закона извршена суштинска дискриминација факултета у односу на инситуте.  Предложени члан сигурно води до чињенице да ће велики број младих људи ван Београда изгубити посао. То сматрамо недопустивим</w:t>
            </w:r>
            <w:r w:rsidR="00313066">
              <w:t>.</w:t>
            </w:r>
          </w:p>
          <w:p w14:paraId="11BCABCF" w14:textId="77777777" w:rsidR="00EB5266" w:rsidRDefault="00EB5266" w:rsidP="00D82DE1">
            <w:pPr>
              <w:pStyle w:val="ListParagraph"/>
              <w:jc w:val="both"/>
              <w:rPr>
                <w:b w:val="0"/>
              </w:rPr>
            </w:pPr>
          </w:p>
          <w:p w14:paraId="0E17E6AA" w14:textId="77777777" w:rsidR="00D82DE1" w:rsidRPr="00D82DE1" w:rsidRDefault="00EB5266" w:rsidP="00D82DE1">
            <w:pPr>
              <w:pStyle w:val="ListParagraph"/>
              <w:jc w:val="both"/>
              <w:rPr>
                <w:b w:val="0"/>
              </w:rPr>
            </w:pPr>
            <w:r>
              <w:rPr>
                <w:b w:val="0"/>
              </w:rPr>
              <w:t>Даље, и</w:t>
            </w:r>
            <w:r w:rsidR="00D82DE1" w:rsidRPr="00D82DE1">
              <w:rPr>
                <w:b w:val="0"/>
              </w:rPr>
              <w:t>нститутима се дозвољава организовање докторских студија, што до сада никада није било могуће. Да би факултет реализовао докторске академске с</w:t>
            </w:r>
            <w:r w:rsidR="00625DC5">
              <w:rPr>
                <w:b w:val="0"/>
              </w:rPr>
              <w:t>т</w:t>
            </w:r>
            <w:r w:rsidR="00D82DE1" w:rsidRPr="00D82DE1">
              <w:rPr>
                <w:b w:val="0"/>
              </w:rPr>
              <w:t>удије, мора се проћи акредитација факултета као високошколске установе, научна акред</w:t>
            </w:r>
            <w:r w:rsidR="00625DC5">
              <w:rPr>
                <w:b w:val="0"/>
              </w:rPr>
              <w:t>и</w:t>
            </w:r>
            <w:r w:rsidR="00D82DE1" w:rsidRPr="00D82DE1">
              <w:rPr>
                <w:b w:val="0"/>
              </w:rPr>
              <w:t>тација факултета и акредитација с</w:t>
            </w:r>
            <w:r w:rsidR="00625DC5">
              <w:rPr>
                <w:b w:val="0"/>
              </w:rPr>
              <w:t>т</w:t>
            </w:r>
            <w:r w:rsidR="00D82DE1" w:rsidRPr="00D82DE1">
              <w:rPr>
                <w:b w:val="0"/>
              </w:rPr>
              <w:t>удијског програма докторских академских студија. Са друге стране, институт може реализовати докторске академске студије само на основу научне акредитације. Да би институт могао организовати докторске академске студије, неопходно је за</w:t>
            </w:r>
            <w:r w:rsidR="00D82DE1">
              <w:rPr>
                <w:b w:val="0"/>
              </w:rPr>
              <w:t>хтевати</w:t>
            </w:r>
            <w:r w:rsidR="00D82DE1" w:rsidRPr="00D82DE1">
              <w:rPr>
                <w:b w:val="0"/>
              </w:rPr>
              <w:t xml:space="preserve"> акредитацију института и студијског програма по истим принципима по којима се акредитују факултети.</w:t>
            </w:r>
          </w:p>
          <w:p w14:paraId="45F8BFA7" w14:textId="77777777" w:rsidR="00D82DE1" w:rsidRPr="00D82DE1" w:rsidRDefault="00D82DE1" w:rsidP="00D82DE1">
            <w:pPr>
              <w:pStyle w:val="ListParagraph"/>
              <w:jc w:val="both"/>
              <w:rPr>
                <w:b w:val="0"/>
              </w:rPr>
            </w:pPr>
          </w:p>
          <w:p w14:paraId="72DD56D6" w14:textId="77777777" w:rsidR="002F08C4" w:rsidRPr="00D82DE1" w:rsidRDefault="002F08C4" w:rsidP="00D82DE1">
            <w:pPr>
              <w:pStyle w:val="ListParagraph"/>
              <w:jc w:val="both"/>
              <w:rPr>
                <w:lang w:val="sr-Cyrl-CS"/>
              </w:rPr>
            </w:pPr>
          </w:p>
        </w:tc>
      </w:tr>
    </w:tbl>
    <w:p w14:paraId="6B5A3FBC" w14:textId="77777777" w:rsidR="002F08C4" w:rsidRPr="00D82DE1" w:rsidRDefault="002F08C4" w:rsidP="006E4294">
      <w:pPr>
        <w:pStyle w:val="ListParagraph"/>
        <w:spacing w:before="80" w:after="80" w:line="240" w:lineRule="auto"/>
        <w:ind w:left="0"/>
        <w:contextualSpacing w:val="0"/>
      </w:pPr>
    </w:p>
    <w:p w14:paraId="004BF175" w14:textId="77777777" w:rsidR="006E4294" w:rsidRPr="00D82DE1" w:rsidRDefault="006E4294" w:rsidP="002F08C4">
      <w:pPr>
        <w:pStyle w:val="ListParagraph"/>
        <w:numPr>
          <w:ilvl w:val="0"/>
          <w:numId w:val="1"/>
        </w:numPr>
        <w:spacing w:before="80" w:after="80" w:line="240" w:lineRule="auto"/>
        <w:contextualSpacing w:val="0"/>
        <w:rPr>
          <w:lang w:val="sr-Latn-RS"/>
        </w:rPr>
      </w:pPr>
      <w:r w:rsidRPr="00D82DE1">
        <w:t>ПРЕДЛОЗИ</w:t>
      </w:r>
      <w:r w:rsidR="002F08C4" w:rsidRPr="00D82DE1">
        <w:t xml:space="preserve"> И ПРИМЕДБЕ У ПОЈЕДИНОСТИМА</w:t>
      </w:r>
      <w:r w:rsidRPr="00D82DE1"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48"/>
      </w:tblGrid>
      <w:tr w:rsidR="006E4294" w:rsidRPr="00D82DE1" w14:paraId="3C48C9F5" w14:textId="77777777" w:rsidTr="002D28DE">
        <w:tc>
          <w:tcPr>
            <w:tcW w:w="2756" w:type="dxa"/>
            <w:shd w:val="clear" w:color="auto" w:fill="auto"/>
          </w:tcPr>
          <w:p w14:paraId="7C7AC72E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Број члана</w:t>
            </w:r>
          </w:p>
        </w:tc>
        <w:tc>
          <w:tcPr>
            <w:tcW w:w="6530" w:type="dxa"/>
            <w:shd w:val="clear" w:color="auto" w:fill="auto"/>
          </w:tcPr>
          <w:p w14:paraId="0D3819F7" w14:textId="77777777" w:rsidR="006E4294" w:rsidRPr="00D82DE1" w:rsidRDefault="00D82DE1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47.</w:t>
            </w:r>
          </w:p>
        </w:tc>
      </w:tr>
      <w:tr w:rsidR="006E4294" w:rsidRPr="00D82DE1" w14:paraId="4BE03A8D" w14:textId="77777777" w:rsidTr="002D28DE">
        <w:tc>
          <w:tcPr>
            <w:tcW w:w="2756" w:type="dxa"/>
            <w:shd w:val="clear" w:color="auto" w:fill="auto"/>
          </w:tcPr>
          <w:p w14:paraId="4F78A2CE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14:paraId="620A9AC4" w14:textId="77777777" w:rsidR="006E4294" w:rsidRPr="00D82DE1" w:rsidRDefault="00D82DE1" w:rsidP="00D82D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Допунити последњ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став овог члана 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реченицом: </w:t>
            </w:r>
            <w:r w:rsidRPr="00D82DE1">
              <w:rPr>
                <w:rFonts w:ascii="Times New Roman" w:hAnsi="Times New Roman"/>
                <w:sz w:val="24"/>
                <w:szCs w:val="24"/>
              </w:rPr>
              <w:t>“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је у обавези да се акредитује као високошколска установа, као и да акредитује студијски програм докторских академских студија, по истим правилима као и високошколске установе.</w:t>
            </w:r>
            <w:r w:rsidRPr="00D82DE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6E4294" w:rsidRPr="00D82DE1" w14:paraId="1BF484CA" w14:textId="77777777" w:rsidTr="002D28DE">
        <w:tc>
          <w:tcPr>
            <w:tcW w:w="2756" w:type="dxa"/>
            <w:shd w:val="clear" w:color="auto" w:fill="auto"/>
          </w:tcPr>
          <w:p w14:paraId="74331BE5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14:paraId="67C216E0" w14:textId="4A9B4EAD" w:rsidR="006E4294" w:rsidRPr="00D82DE1" w:rsidRDefault="00D82DE1" w:rsidP="00D82D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вака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институција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сваки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студијски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морају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проћи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одговарајући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акредитације</w:t>
            </w:r>
            <w:bookmarkStart w:id="0" w:name="_Hlk532250024"/>
            <w:proofErr w:type="spellEnd"/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, у складу са Законом о високом образовању.</w:t>
            </w:r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Једнака правила морају важити за факултете и </w:t>
            </w:r>
            <w:r w:rsidR="0031306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 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институте.</w:t>
            </w:r>
          </w:p>
        </w:tc>
      </w:tr>
    </w:tbl>
    <w:p w14:paraId="0E970510" w14:textId="77777777" w:rsidR="006E4294" w:rsidRPr="00D82DE1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48"/>
      </w:tblGrid>
      <w:tr w:rsidR="006E4294" w:rsidRPr="00D82DE1" w14:paraId="3AC8ED64" w14:textId="77777777" w:rsidTr="002D28DE">
        <w:tc>
          <w:tcPr>
            <w:tcW w:w="2756" w:type="dxa"/>
            <w:shd w:val="clear" w:color="auto" w:fill="auto"/>
          </w:tcPr>
          <w:p w14:paraId="52A9FBD2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Број члана</w:t>
            </w:r>
          </w:p>
        </w:tc>
        <w:tc>
          <w:tcPr>
            <w:tcW w:w="6530" w:type="dxa"/>
            <w:shd w:val="clear" w:color="auto" w:fill="auto"/>
          </w:tcPr>
          <w:p w14:paraId="5E2E8C4A" w14:textId="77777777" w:rsidR="006E4294" w:rsidRPr="00D82DE1" w:rsidRDefault="00D82DE1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55.</w:t>
            </w:r>
          </w:p>
        </w:tc>
      </w:tr>
      <w:tr w:rsidR="006E4294" w:rsidRPr="00D82DE1" w14:paraId="627D5B9E" w14:textId="77777777" w:rsidTr="002D28DE">
        <w:tc>
          <w:tcPr>
            <w:tcW w:w="2756" w:type="dxa"/>
            <w:shd w:val="clear" w:color="auto" w:fill="auto"/>
          </w:tcPr>
          <w:p w14:paraId="4947EE7E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14:paraId="67953774" w14:textId="77777777" w:rsidR="006E4294" w:rsidRPr="00D82DE1" w:rsidRDefault="00D82DE1" w:rsidP="00D82D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Допунити последњ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став овог члана 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реченицом: </w:t>
            </w:r>
            <w:r w:rsidRPr="00D82DE1">
              <w:rPr>
                <w:rFonts w:ascii="Times New Roman" w:hAnsi="Times New Roman"/>
                <w:sz w:val="24"/>
                <w:szCs w:val="24"/>
              </w:rPr>
              <w:t>“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је у обавези да се акредитује као високошколска установа, као и да акредитује студијски програм докторских академских студија, по истим правилима као и високошколске установе.</w:t>
            </w:r>
            <w:r w:rsidRPr="00D82DE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6E4294" w:rsidRPr="00D82DE1" w14:paraId="773999CD" w14:textId="77777777" w:rsidTr="002D28DE">
        <w:tc>
          <w:tcPr>
            <w:tcW w:w="2756" w:type="dxa"/>
            <w:shd w:val="clear" w:color="auto" w:fill="auto"/>
          </w:tcPr>
          <w:p w14:paraId="7E30AD9D" w14:textId="77777777" w:rsidR="006E4294" w:rsidRPr="00D82DE1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14:paraId="2C814B7C" w14:textId="6B034556" w:rsidR="006E4294" w:rsidRPr="00D82DE1" w:rsidRDefault="00D82DE1" w:rsidP="00D82D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вака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институција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сваки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студијски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морају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проћи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одговарајући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акредитације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, у складу са Законом о високом образовању.</w:t>
            </w:r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Једнака правила морају важити за факултете и </w:t>
            </w:r>
            <w:r w:rsidR="0031306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 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институте.</w:t>
            </w:r>
          </w:p>
        </w:tc>
      </w:tr>
    </w:tbl>
    <w:p w14:paraId="77CE51CB" w14:textId="77777777" w:rsidR="006E4294" w:rsidRDefault="006E4294" w:rsidP="006E4294">
      <w:pPr>
        <w:spacing w:before="0"/>
        <w:rPr>
          <w:rFonts w:ascii="Times New Roman" w:hAnsi="Times New Roman"/>
          <w:i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48"/>
      </w:tblGrid>
      <w:tr w:rsidR="00EB5266" w:rsidRPr="00D82DE1" w14:paraId="0D6FD6C9" w14:textId="77777777" w:rsidTr="00EB526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D08F" w14:textId="77777777" w:rsidR="00EB5266" w:rsidRPr="00D82DE1" w:rsidRDefault="00EB5266" w:rsidP="00837C08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Број члана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C282" w14:textId="77777777" w:rsidR="00EB5266" w:rsidRPr="00D82DE1" w:rsidRDefault="00EB5266" w:rsidP="00837C08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1</w:t>
            </w:r>
            <w:r>
              <w:rPr>
                <w:b w:val="0"/>
              </w:rPr>
              <w:t>07</w:t>
            </w:r>
            <w:r w:rsidRPr="00D82DE1">
              <w:rPr>
                <w:b w:val="0"/>
              </w:rPr>
              <w:t>.</w:t>
            </w:r>
          </w:p>
        </w:tc>
      </w:tr>
      <w:tr w:rsidR="00EB5266" w:rsidRPr="00D82DE1" w14:paraId="3DD8D3D1" w14:textId="77777777" w:rsidTr="00EB526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A388" w14:textId="77777777" w:rsidR="00EB5266" w:rsidRPr="00D82DE1" w:rsidRDefault="00EB5266" w:rsidP="00837C08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Предлог за измену и/или допуну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48F6" w14:textId="211A1BD1" w:rsidR="00EB5266" w:rsidRPr="00EB5266" w:rsidRDefault="00EB5266" w:rsidP="00EB5266">
            <w:pPr>
              <w:pStyle w:val="ListParagraph"/>
              <w:spacing w:before="80" w:after="80"/>
              <w:rPr>
                <w:b w:val="0"/>
              </w:rPr>
            </w:pPr>
            <w:r>
              <w:rPr>
                <w:b w:val="0"/>
              </w:rPr>
              <w:t xml:space="preserve">Прву реченицу </w:t>
            </w:r>
            <w:r>
              <w:rPr>
                <w:b w:val="0"/>
                <w:lang w:val="en-US"/>
              </w:rPr>
              <w:t>“</w:t>
            </w:r>
            <w:r>
              <w:rPr>
                <w:b w:val="0"/>
              </w:rPr>
              <w:t>Институционално финансирање акредитованих института...</w:t>
            </w:r>
            <w:r>
              <w:rPr>
                <w:b w:val="0"/>
                <w:lang w:val="en-US"/>
              </w:rPr>
              <w:t xml:space="preserve">” </w:t>
            </w:r>
            <w:r>
              <w:rPr>
                <w:b w:val="0"/>
              </w:rPr>
              <w:t xml:space="preserve">променити у </w:t>
            </w:r>
            <w:r>
              <w:rPr>
                <w:b w:val="0"/>
                <w:lang w:val="en-US"/>
              </w:rPr>
              <w:t>“</w:t>
            </w:r>
            <w:r>
              <w:rPr>
                <w:b w:val="0"/>
              </w:rPr>
              <w:t>Институционално финансирање акредитованих НИО...</w:t>
            </w:r>
            <w:r w:rsidRPr="00EB5266">
              <w:rPr>
                <w:b w:val="0"/>
                <w:lang w:val="en-US"/>
              </w:rPr>
              <w:t>”</w:t>
            </w:r>
          </w:p>
        </w:tc>
      </w:tr>
      <w:tr w:rsidR="00EB5266" w:rsidRPr="00D82DE1" w14:paraId="792A60D0" w14:textId="77777777" w:rsidTr="00EB526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D995" w14:textId="77777777" w:rsidR="00EB5266" w:rsidRPr="00D82DE1" w:rsidRDefault="00EB5266" w:rsidP="00837C08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Образложење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0F1C" w14:textId="5F345025" w:rsidR="00EB5266" w:rsidRPr="00E86C18" w:rsidRDefault="00EB5266" w:rsidP="00EB5266">
            <w:pPr>
              <w:pStyle w:val="ListParagraph"/>
              <w:spacing w:before="80" w:after="80"/>
              <w:rPr>
                <w:b w:val="0"/>
              </w:rPr>
            </w:pPr>
            <w:r>
              <w:rPr>
                <w:b w:val="0"/>
              </w:rPr>
              <w:t>На овај начин дозвољено је, у случајуо</w:t>
            </w:r>
            <w:r w:rsidR="00313066">
              <w:rPr>
                <w:b w:val="0"/>
              </w:rPr>
              <w:t xml:space="preserve"> </w:t>
            </w:r>
            <w:r>
              <w:rPr>
                <w:b w:val="0"/>
              </w:rPr>
              <w:t>бјективне  потребе, да се институционално финансира наука и на факултетима, у скл</w:t>
            </w:r>
            <w:r w:rsidR="00313066">
              <w:rPr>
                <w:b w:val="0"/>
              </w:rPr>
              <w:t>а</w:t>
            </w:r>
            <w:r>
              <w:rPr>
                <w:b w:val="0"/>
              </w:rPr>
              <w:t>ду са накнадном одлуком Министарств</w:t>
            </w:r>
            <w:r w:rsidR="00313066">
              <w:rPr>
                <w:b w:val="0"/>
              </w:rPr>
              <w:t>а</w:t>
            </w:r>
            <w:r>
              <w:rPr>
                <w:b w:val="0"/>
              </w:rPr>
              <w:t xml:space="preserve"> или Влад</w:t>
            </w:r>
            <w:r w:rsidR="00313066">
              <w:rPr>
                <w:b w:val="0"/>
              </w:rPr>
              <w:t>е</w:t>
            </w:r>
            <w:r>
              <w:rPr>
                <w:b w:val="0"/>
              </w:rPr>
              <w:t xml:space="preserve"> Републике Србије. Наука на факултетима</w:t>
            </w:r>
            <w:r w:rsidR="00313066">
              <w:rPr>
                <w:b w:val="0"/>
              </w:rPr>
              <w:t xml:space="preserve"> ће тада бити </w:t>
            </w:r>
            <w:r>
              <w:rPr>
                <w:b w:val="0"/>
              </w:rPr>
              <w:t>на ист</w:t>
            </w:r>
            <w:r w:rsidR="00313066">
              <w:rPr>
                <w:b w:val="0"/>
              </w:rPr>
              <w:t>ом</w:t>
            </w:r>
            <w:r>
              <w:rPr>
                <w:b w:val="0"/>
              </w:rPr>
              <w:t xml:space="preserve"> ниво</w:t>
            </w:r>
            <w:r w:rsidR="00313066">
              <w:rPr>
                <w:b w:val="0"/>
              </w:rPr>
              <w:t>у</w:t>
            </w:r>
            <w:r>
              <w:rPr>
                <w:b w:val="0"/>
              </w:rPr>
              <w:t xml:space="preserve"> као и наука на институтима, а конкретно финансирање зависи од много фактора који унапред не могу бити предвиђени.</w:t>
            </w:r>
          </w:p>
        </w:tc>
      </w:tr>
    </w:tbl>
    <w:p w14:paraId="42A8CAE6" w14:textId="607CB843" w:rsidR="00EB5266" w:rsidRDefault="00EB5266" w:rsidP="006E4294">
      <w:pPr>
        <w:spacing w:before="0"/>
        <w:rPr>
          <w:rFonts w:ascii="Times New Roman" w:hAnsi="Times New Roman"/>
          <w:i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48"/>
      </w:tblGrid>
      <w:tr w:rsidR="00EB5266" w:rsidRPr="00D82DE1" w14:paraId="58471637" w14:textId="77777777" w:rsidTr="00837C08">
        <w:tc>
          <w:tcPr>
            <w:tcW w:w="2712" w:type="dxa"/>
            <w:shd w:val="clear" w:color="auto" w:fill="auto"/>
          </w:tcPr>
          <w:p w14:paraId="796ADB11" w14:textId="77777777" w:rsidR="00EB5266" w:rsidRPr="00D82DE1" w:rsidRDefault="00EB5266" w:rsidP="00837C08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Број члана</w:t>
            </w:r>
          </w:p>
        </w:tc>
        <w:tc>
          <w:tcPr>
            <w:tcW w:w="6348" w:type="dxa"/>
            <w:shd w:val="clear" w:color="auto" w:fill="auto"/>
          </w:tcPr>
          <w:p w14:paraId="136301C1" w14:textId="77777777" w:rsidR="00EB5266" w:rsidRPr="00D82DE1" w:rsidRDefault="00EB5266" w:rsidP="00837C08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126.</w:t>
            </w:r>
          </w:p>
        </w:tc>
      </w:tr>
      <w:tr w:rsidR="00EB5266" w:rsidRPr="00D82DE1" w14:paraId="314E47E6" w14:textId="77777777" w:rsidTr="00837C08">
        <w:tc>
          <w:tcPr>
            <w:tcW w:w="2712" w:type="dxa"/>
            <w:shd w:val="clear" w:color="auto" w:fill="auto"/>
          </w:tcPr>
          <w:p w14:paraId="3A2C124C" w14:textId="77777777" w:rsidR="00EB5266" w:rsidRPr="00D82DE1" w:rsidRDefault="00EB5266" w:rsidP="00837C08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Предлог за измену и/или допуну</w:t>
            </w:r>
          </w:p>
        </w:tc>
        <w:tc>
          <w:tcPr>
            <w:tcW w:w="6348" w:type="dxa"/>
            <w:shd w:val="clear" w:color="auto" w:fill="auto"/>
          </w:tcPr>
          <w:p w14:paraId="47C6D10A" w14:textId="77777777" w:rsidR="00EB5266" w:rsidRPr="00D82DE1" w:rsidRDefault="00EB5266" w:rsidP="00837C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Обрисати цео члан!</w:t>
            </w:r>
          </w:p>
        </w:tc>
      </w:tr>
      <w:tr w:rsidR="00EB5266" w:rsidRPr="00E86C18" w14:paraId="742817D0" w14:textId="77777777" w:rsidTr="00837C08">
        <w:tc>
          <w:tcPr>
            <w:tcW w:w="2712" w:type="dxa"/>
            <w:shd w:val="clear" w:color="auto" w:fill="auto"/>
          </w:tcPr>
          <w:p w14:paraId="2328FF2C" w14:textId="77777777" w:rsidR="00EB5266" w:rsidRPr="00D82DE1" w:rsidRDefault="00EB5266" w:rsidP="00837C08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</w:rPr>
            </w:pPr>
            <w:r w:rsidRPr="00D82DE1">
              <w:rPr>
                <w:b w:val="0"/>
              </w:rPr>
              <w:t>Образложење</w:t>
            </w:r>
          </w:p>
        </w:tc>
        <w:tc>
          <w:tcPr>
            <w:tcW w:w="6348" w:type="dxa"/>
            <w:shd w:val="clear" w:color="auto" w:fill="auto"/>
          </w:tcPr>
          <w:p w14:paraId="76D212CC" w14:textId="346D8996" w:rsidR="00EB5266" w:rsidRPr="00E86C18" w:rsidRDefault="00EB5266" w:rsidP="00837C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126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представља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фундаменталну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дискриминацију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факултета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акредитованих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научно-истраживачких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односу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DE1">
              <w:rPr>
                <w:rFonts w:ascii="Times New Roman" w:hAnsi="Times New Roman"/>
                <w:sz w:val="24"/>
                <w:szCs w:val="24"/>
              </w:rPr>
              <w:t>инситуте</w:t>
            </w:r>
            <w:proofErr w:type="spellEnd"/>
            <w:r w:rsidRPr="00D82DE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DE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82D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Факултети и институти су равноправне акредитоване научно-истраживачке институције. Не може бити разлике у третману запошљавања, већ једнака правила морају важити за факултете и </w:t>
            </w:r>
            <w:r w:rsidR="0031306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за </w:t>
            </w:r>
            <w:bookmarkStart w:id="1" w:name="_GoBack"/>
            <w:bookmarkEnd w:id="1"/>
            <w:r w:rsidRPr="00D82D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институте.</w:t>
            </w:r>
          </w:p>
        </w:tc>
      </w:tr>
    </w:tbl>
    <w:p w14:paraId="2BB5D2F5" w14:textId="77777777" w:rsidR="00EB5266" w:rsidRDefault="00EB5266" w:rsidP="006E4294">
      <w:pPr>
        <w:spacing w:before="0"/>
        <w:rPr>
          <w:rFonts w:ascii="Times New Roman" w:hAnsi="Times New Roman"/>
          <w:i/>
          <w:lang w:val="sr-Cyrl-RS"/>
        </w:rPr>
      </w:pPr>
    </w:p>
    <w:p w14:paraId="7AB4B9B2" w14:textId="77777777" w:rsidR="006E4294" w:rsidRPr="00873391" w:rsidRDefault="006E4294" w:rsidP="006E4294">
      <w:pPr>
        <w:spacing w:before="0"/>
        <w:rPr>
          <w:b/>
          <w:lang w:val="sr-Cyrl-RS"/>
        </w:rPr>
      </w:pPr>
      <w:r>
        <w:rPr>
          <w:rFonts w:ascii="Times New Roman" w:hAnsi="Times New Roman"/>
          <w:i/>
          <w:lang w:val="sr-Cyrl-RS"/>
        </w:rPr>
        <w:t xml:space="preserve">За остале чланове/предлоге копирати табелу. </w:t>
      </w:r>
    </w:p>
    <w:sectPr w:rsidR="006E4294" w:rsidRPr="00873391" w:rsidSect="008733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94"/>
    <w:rsid w:val="00104D01"/>
    <w:rsid w:val="002F08C4"/>
    <w:rsid w:val="00306749"/>
    <w:rsid w:val="00313066"/>
    <w:rsid w:val="005F0FFC"/>
    <w:rsid w:val="00625DC5"/>
    <w:rsid w:val="006D6682"/>
    <w:rsid w:val="006E4294"/>
    <w:rsid w:val="00B40E16"/>
    <w:rsid w:val="00BE002E"/>
    <w:rsid w:val="00D12867"/>
    <w:rsid w:val="00D82DE1"/>
    <w:rsid w:val="00DB1635"/>
    <w:rsid w:val="00E86C18"/>
    <w:rsid w:val="00EB5266"/>
    <w:rsid w:val="00F72672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9F4F"/>
  <w15:chartTrackingRefBased/>
  <w15:docId w15:val="{44F0873F-62AE-4F88-86D5-C853E071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@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Dragan Đorđević</cp:lastModifiedBy>
  <cp:revision>5</cp:revision>
  <cp:lastPrinted>2018-08-28T06:17:00Z</cp:lastPrinted>
  <dcterms:created xsi:type="dcterms:W3CDTF">2018-12-10T23:15:00Z</dcterms:created>
  <dcterms:modified xsi:type="dcterms:W3CDTF">2018-12-11T11:27:00Z</dcterms:modified>
</cp:coreProperties>
</file>